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707" w:rsidRDefault="008E2707" w:rsidP="008E2707">
      <w:pPr>
        <w:pStyle w:val="2"/>
      </w:pPr>
      <w:r>
        <w:t>Олимпиада ВсОШ по Искусству (МХК) 10 класс по Москве</w:t>
      </w:r>
    </w:p>
    <w:p w:rsidR="008E2707" w:rsidRDefault="008E2707" w:rsidP="008E2707">
      <w:pPr>
        <w:pStyle w:val="wp-block-paragraph"/>
      </w:pPr>
      <w:r>
        <w:rPr>
          <w:rStyle w:val="a8"/>
        </w:rPr>
        <w:t>Москва и образы Москвы в разных видах искусства</w:t>
      </w:r>
    </w:p>
    <w:p w:rsidR="008E2707" w:rsidRDefault="008E2707" w:rsidP="008E2707">
      <w:pPr>
        <w:pStyle w:val="wp-block-paragraph"/>
      </w:pPr>
      <w:r>
        <w:t>Не только художников, но и множество поэтов и писателей вдохновляла Москва: А. Пушкина, П. Вяземского, А. Грибоедова, Л. Толстого, В. Маяковского, С. Есенина, Б. Пастернака, А. Ахматову, М. Цветаеву, О. Мандельштама, Д. Самойлова, Ю. Левитанского, Б. Окуджаву, В. Высоцкого, Г. Шпаликова, И. Бродского…</w:t>
      </w:r>
    </w:p>
    <w:p w:rsidR="008E2707" w:rsidRDefault="008E2707" w:rsidP="008E2707">
      <w:pPr>
        <w:pStyle w:val="wp-block-paragraph"/>
      </w:pPr>
      <w:r>
        <w:t>Вот стихотворение Петра Вяземского, написанное в 1858 году.</w:t>
      </w:r>
    </w:p>
    <w:p w:rsidR="008E2707" w:rsidRDefault="008E2707" w:rsidP="008E2707">
      <w:pPr>
        <w:pStyle w:val="wp-block-paragraph"/>
      </w:pPr>
      <w:r>
        <w:rPr>
          <w:rStyle w:val="a8"/>
        </w:rPr>
        <w:t>Из «очерков Москвы»</w:t>
      </w:r>
    </w:p>
    <w:p w:rsidR="008E2707" w:rsidRDefault="008E2707" w:rsidP="008E2707">
      <w:pPr>
        <w:pStyle w:val="wp-block-paragraph"/>
      </w:pPr>
      <w:r>
        <w:t>Твердят: ты с Азией Европа,</w:t>
      </w:r>
      <w:r>
        <w:br/>
        <w:t>Славянский и татарский Рим,</w:t>
      </w:r>
      <w:r>
        <w:br/>
        <w:t>И то, что зрелось до потопа,</w:t>
      </w:r>
      <w:r>
        <w:br/>
        <w:t>В тебе ещё и ныне зрим.</w:t>
      </w:r>
    </w:p>
    <w:p w:rsidR="008E2707" w:rsidRDefault="008E2707" w:rsidP="008E2707">
      <w:pPr>
        <w:pStyle w:val="wp-block-paragraph"/>
      </w:pPr>
      <w:r>
        <w:t>В тебе и новый мир, и древний;</w:t>
      </w:r>
      <w:r>
        <w:br/>
        <w:t>В тебе пасут свои стада</w:t>
      </w:r>
      <w:r>
        <w:br/>
        <w:t>Патриархальные деревни</w:t>
      </w:r>
      <w:r>
        <w:br/>
        <w:t>У Патриаршего пруда.</w:t>
      </w:r>
    </w:p>
    <w:p w:rsidR="008E2707" w:rsidRDefault="008E2707" w:rsidP="008E2707">
      <w:pPr>
        <w:pStyle w:val="wp-block-paragraph"/>
      </w:pPr>
      <w:r>
        <w:t>Строенья всех цветов и зодчеств,</w:t>
      </w:r>
      <w:r>
        <w:br/>
        <w:t>А надписи на воротах —</w:t>
      </w:r>
      <w:r>
        <w:br/>
        <w:t>Набор таких имён и отчеств,</w:t>
      </w:r>
      <w:r>
        <w:br/>
        <w:t>Что просто зарябит в глазах.</w:t>
      </w:r>
    </w:p>
    <w:p w:rsidR="008E2707" w:rsidRDefault="008E2707" w:rsidP="008E2707">
      <w:pPr>
        <w:pStyle w:val="wp-block-paragraph"/>
      </w:pPr>
      <w:r>
        <w:t>Здесь чудо — барские палаты</w:t>
      </w:r>
      <w:r>
        <w:br/>
        <w:t>С гербом, где вписан знатный род;</w:t>
      </w:r>
      <w:r>
        <w:br/>
        <w:t>Вблизи на курьих ножках хаты</w:t>
      </w:r>
      <w:r>
        <w:br/>
        <w:t>И с огурцами огород.</w:t>
      </w:r>
    </w:p>
    <w:p w:rsidR="008E2707" w:rsidRDefault="008E2707" w:rsidP="008E2707">
      <w:pPr>
        <w:pStyle w:val="wp-block-paragraph"/>
      </w:pPr>
      <w:r>
        <w:t>Поэзия с торговлей рядом;</w:t>
      </w:r>
      <w:r>
        <w:br/>
        <w:t>Ворвался Манчестер в Царьград,</w:t>
      </w:r>
      <w:r>
        <w:br/>
        <w:t>Паровики дымятся смрадом, —</w:t>
      </w:r>
      <w:r>
        <w:br/>
        <w:t>Рай неги и рабочий ад!</w:t>
      </w:r>
    </w:p>
    <w:p w:rsidR="008E2707" w:rsidRDefault="008E2707" w:rsidP="008E2707">
      <w:pPr>
        <w:pStyle w:val="wp-block-paragraph"/>
      </w:pPr>
      <w:r>
        <w:t>Кузнецкий мост давно без кузниц —</w:t>
      </w:r>
      <w:r>
        <w:br/>
        <w:t>Парижа пёстрый уголок,</w:t>
      </w:r>
      <w:r>
        <w:br/>
        <w:t>Где он вербует русских узниц,</w:t>
      </w:r>
      <w:r>
        <w:br/>
        <w:t>Где он сбирает с них оброк.</w:t>
      </w:r>
    </w:p>
    <w:p w:rsidR="008E2707" w:rsidRDefault="008E2707" w:rsidP="008E2707">
      <w:pPr>
        <w:pStyle w:val="wp-block-paragraph"/>
      </w:pPr>
      <w:r>
        <w:t>А тут, посмотришь, — Русь родная</w:t>
      </w:r>
      <w:r>
        <w:br/>
        <w:t>С своею древней простотой,</w:t>
      </w:r>
      <w:r>
        <w:br/>
        <w:t>Не стёртая, не початая,</w:t>
      </w:r>
      <w:r>
        <w:br/>
        <w:t>Как самородок золотой,</w:t>
      </w:r>
    </w:p>
    <w:p w:rsidR="008E2707" w:rsidRDefault="008E2707" w:rsidP="008E2707">
      <w:pPr>
        <w:pStyle w:val="wp-block-paragraph"/>
      </w:pPr>
      <w:r>
        <w:t>Русь в кичке, в красной душегрейке,</w:t>
      </w:r>
      <w:r>
        <w:br/>
        <w:t>Она, как будто за сто лет,</w:t>
      </w:r>
      <w:r>
        <w:br/>
      </w:r>
      <w:r>
        <w:lastRenderedPageBreak/>
        <w:t>Живёт себе на Маросейке,</w:t>
      </w:r>
      <w:r>
        <w:br/>
        <w:t>И до Европы дела нет.</w:t>
      </w:r>
    </w:p>
    <w:p w:rsidR="008E2707" w:rsidRDefault="008E2707" w:rsidP="008E2707">
      <w:pPr>
        <w:pStyle w:val="wp-block-paragraph"/>
      </w:pPr>
      <w:r>
        <w:t>Всё это так — и тем прекрасней!</w:t>
      </w:r>
      <w:r>
        <w:br/>
        <w:t>Разнообразье — красота:</w:t>
      </w:r>
      <w:r>
        <w:br/>
        <w:t>Быль жизни с своенравной басней;</w:t>
      </w:r>
      <w:r>
        <w:br/>
        <w:t>Здесь хлам, там свежая мечта.</w:t>
      </w:r>
    </w:p>
    <w:p w:rsidR="008E2707" w:rsidRDefault="008E2707" w:rsidP="008E2707">
      <w:pPr>
        <w:pStyle w:val="wp-block-paragraph"/>
      </w:pPr>
      <w:r>
        <w:t>Здесь личность есть и самобытность,</w:t>
      </w:r>
      <w:r>
        <w:br/>
        <w:t>Кто я, так я, не каждый мы,</w:t>
      </w:r>
      <w:r>
        <w:br/>
        <w:t>Чувств подчинённость или скрытность</w:t>
      </w:r>
      <w:r>
        <w:br/>
        <w:t>Не заморозила умы.</w:t>
      </w:r>
    </w:p>
    <w:p w:rsidR="008E2707" w:rsidRDefault="008E2707" w:rsidP="008E2707">
      <w:pPr>
        <w:pStyle w:val="wp-block-paragraph"/>
      </w:pPr>
      <w:r>
        <w:t>Нет обстановки хладно-вялой,</w:t>
      </w:r>
      <w:r>
        <w:br/>
        <w:t>Упряжки общей, общих форм;</w:t>
      </w:r>
      <w:r>
        <w:br/>
        <w:t>Что конь степной, здесь каждый малый</w:t>
      </w:r>
      <w:r>
        <w:br/>
        <w:t>Разнуздан на подножный корм.</w:t>
      </w:r>
    </w:p>
    <w:p w:rsidR="008E2707" w:rsidRDefault="008E2707" w:rsidP="008E2707">
      <w:pPr>
        <w:pStyle w:val="wp-block-paragraph"/>
      </w:pPr>
      <w:r>
        <w:t>У каждого свои причуды</w:t>
      </w:r>
      <w:r>
        <w:br/>
        <w:t>И свой аршин с своим коньком,</w:t>
      </w:r>
      <w:r>
        <w:br/>
        <w:t>Свой нрав, свой толк и пересуды</w:t>
      </w:r>
      <w:r>
        <w:br/>
        <w:t>О том, о сём и ни о чём.</w:t>
      </w:r>
    </w:p>
    <w:p w:rsidR="008E2707" w:rsidRDefault="008E2707" w:rsidP="008E2707">
      <w:pPr>
        <w:pStyle w:val="wp-block-paragraph"/>
      </w:pPr>
      <w:r>
        <w:t>Москва! Под оболочкой пёстрой</w:t>
      </w:r>
      <w:r>
        <w:br/>
        <w:t>Храни свой самородный быт!</w:t>
      </w:r>
      <w:r>
        <w:br/>
        <w:t>Пусть Грибоедов шуткой острой</w:t>
      </w:r>
      <w:r>
        <w:br/>
        <w:t>Тебя насмешливо язвит,</w:t>
      </w:r>
    </w:p>
    <w:p w:rsidR="008E2707" w:rsidRDefault="008E2707" w:rsidP="008E2707">
      <w:pPr>
        <w:pStyle w:val="wp-block-paragraph"/>
      </w:pPr>
      <w:r>
        <w:t>Ты не смущайся, не меняйся,</w:t>
      </w:r>
      <w:r>
        <w:br/>
        <w:t>Веками вылитая в медь,</w:t>
      </w:r>
      <w:r>
        <w:br/>
        <w:t>На Кремль свой гордо опирайся</w:t>
      </w:r>
      <w:r>
        <w:br/>
        <w:t>И, чем была, тем будь и впредь!</w:t>
      </w:r>
    </w:p>
    <w:p w:rsidR="008E2707" w:rsidRDefault="008E2707" w:rsidP="008E2707">
      <w:pPr>
        <w:pStyle w:val="wp-block-paragraph"/>
      </w:pPr>
      <w:r>
        <w:t>Величье есть в твоём упадке,</w:t>
      </w:r>
      <w:r>
        <w:br/>
        <w:t>В рубцах твоих истёртых лат!</w:t>
      </w:r>
      <w:r>
        <w:br/>
        <w:t>Есть прелесть в этом беспорядке</w:t>
      </w:r>
      <w:r>
        <w:br/>
        <w:t>Твоих разбросанных палат,</w:t>
      </w:r>
    </w:p>
    <w:p w:rsidR="008E2707" w:rsidRDefault="008E2707" w:rsidP="008E2707">
      <w:pPr>
        <w:pStyle w:val="wp-block-paragraph"/>
      </w:pPr>
      <w:r>
        <w:t>Твоих садов и огородов,</w:t>
      </w:r>
      <w:r>
        <w:br/>
        <w:t>Высоких башен, пустырей,</w:t>
      </w:r>
      <w:r>
        <w:br/>
        <w:t>С железной мачтою заводов</w:t>
      </w:r>
      <w:r>
        <w:br/>
        <w:t>И с колокольнями церквей!</w:t>
      </w:r>
    </w:p>
    <w:p w:rsidR="008E2707" w:rsidRDefault="008E2707" w:rsidP="008E2707">
      <w:pPr>
        <w:pStyle w:val="wp-block-paragraph"/>
      </w:pPr>
      <w:r>
        <w:t>Есть прелесть в дружбе хлебосольной</w:t>
      </w:r>
      <w:r>
        <w:br/>
        <w:t>Гостеприимных москвичей,</w:t>
      </w:r>
      <w:r>
        <w:br/>
        <w:t>В их важности самодовольной,</w:t>
      </w:r>
      <w:r>
        <w:br/>
        <w:t>В игре невинных их затей.</w:t>
      </w:r>
    </w:p>
    <w:p w:rsidR="008E2707" w:rsidRDefault="008E2707" w:rsidP="008E2707">
      <w:pPr>
        <w:pStyle w:val="wp-block-paragraph"/>
      </w:pPr>
      <w:r>
        <w:t>Здесь повсеместный и всегдашний</w:t>
      </w:r>
      <w:r>
        <w:br/>
        <w:t>Есть русский склад, есть русский дух,</w:t>
      </w:r>
      <w:r>
        <w:br/>
        <w:t>Начать — от Сухаревой башни</w:t>
      </w:r>
      <w:r>
        <w:br/>
        <w:t>И кончить — сплетнями старух.</w:t>
      </w:r>
    </w:p>
    <w:p w:rsidR="008E2707" w:rsidRDefault="008E2707" w:rsidP="008E2707">
      <w:pPr>
        <w:pStyle w:val="wp-block-paragraph"/>
      </w:pPr>
      <w:r>
        <w:lastRenderedPageBreak/>
        <w:t>В этом описании Москвы масса точных, остроумных и порой ироничных наблюдений. Многое в городе изменилось, но многое осталось неизменным: его сложность и многослойность, гармоничность и парадоксальность, его ритмы и характер. Вслед за Вяземским у Вас будет возможность поразмышлять о том, как в Москве соединяется история и современность, самобытность и диалог с другими культурами, как образ города отражается в разных искусствах: в музыке и живописи, в театре, в кино и фотографии.</w:t>
      </w:r>
    </w:p>
    <w:p w:rsidR="008E2707" w:rsidRDefault="008E2707" w:rsidP="008E2707">
      <w:pPr>
        <w:pStyle w:val="wp-block-paragraph"/>
      </w:pPr>
      <w:r>
        <w:t>Зодчество Москвы XIX века неразрывно связано с поиском русского стиля в архитектуре. Эти искания были очень разнообразны (в национальной стилистике решались особняки, музеи, вокзалы и храмы) и длились практически целое столетие.</w:t>
      </w:r>
    </w:p>
    <w:p w:rsidR="008E2707" w:rsidRDefault="008E2707" w:rsidP="008E2707">
      <w:pPr>
        <w:pStyle w:val="wp-block-paragraph"/>
      </w:pPr>
      <w:r>
        <w:t>Застройка старой столицы визуализирует все фазы и варианты этого пути: от русско-византийских построек К.А. Тона, напоминающих о Москве как о наследнице имперских Константинополя и Рима, до работ И.Е. Бондаренко, в которых новгородская «архаика» сращивается с языком модернизма. Немало зданий было построено и в подражании несохранившимся постройкам средневековой Москвы — боярским палатам и теремам XVII века.</w:t>
      </w:r>
    </w:p>
    <w:p w:rsidR="008E2707" w:rsidRDefault="008E2707" w:rsidP="008E2707">
      <w:pPr>
        <w:pStyle w:val="wp-block-paragraph"/>
      </w:pPr>
      <w:r>
        <w:t>Поразмышлять об этом обширном материале городской застройки мы предлагаем вам в настоящем задании.</w:t>
      </w:r>
    </w:p>
    <w:p w:rsidR="008E2707" w:rsidRDefault="008E2707" w:rsidP="008E2707">
      <w:pPr>
        <w:pStyle w:val="wp-block-paragraph"/>
      </w:pPr>
      <w:r>
        <w:t>Посмотрите на фотографии московских построек XIX – начала XX века.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1.</w:t>
      </w:r>
      <w:r>
        <w:t xml:space="preserve"> Отметьте те из них, в образном строе, общей композиции или декоре которых есть:</w:t>
      </w:r>
      <w:r>
        <w:br/>
        <w:t>ориентация на традиции теремного московско-ярославского зодчества XVII века.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2.</w:t>
      </w:r>
      <w:r>
        <w:t xml:space="preserve"> Отметьте те из них, в образном строе, общей композиции или декоре которых, есть:</w:t>
      </w:r>
      <w:r>
        <w:br/>
        <w:t>ориентация на псковско-новгородскую архитектуру XIV-XVI веков.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3.</w:t>
      </w:r>
      <w:r>
        <w:t xml:space="preserve"> Отметьте постройки, которые не ассоциируются с указанными школами древнерусской архитектуры.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4.</w:t>
      </w:r>
      <w:r>
        <w:t xml:space="preserve"> Среди построек, которые вы связали с московско-ярославским зодчеством XVII века, выберите </w:t>
      </w:r>
      <w:r>
        <w:rPr>
          <w:rStyle w:val="a8"/>
        </w:rPr>
        <w:t>два</w:t>
      </w:r>
      <w:r>
        <w:t xml:space="preserve"> сооружения, которые наиболее ярко выражают концепцию неорусского стиля эпохи модерна.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5.</w:t>
      </w:r>
      <w:r>
        <w:t xml:space="preserve"> Среди всех построек, представленных в задании, выберите памятник, в стилистическом решении которого отражается не только традиция какой-то из уже упомянутых школ средневекового зодчества Древней Руси, но и традиция Владимиро-Суздальского княжества XII века.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6.</w:t>
      </w:r>
      <w:r>
        <w:t xml:space="preserve"> Какие из зданий построены как общественные сооружения?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7.</w:t>
      </w:r>
      <w:r>
        <w:t xml:space="preserve"> Найдите </w:t>
      </w:r>
      <w:r>
        <w:rPr>
          <w:rStyle w:val="a8"/>
        </w:rPr>
        <w:t>два</w:t>
      </w:r>
      <w:r>
        <w:t xml:space="preserve"> сооружения, которые построены К. А. Тоном в русско-византийском стиле.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8.</w:t>
      </w:r>
      <w:r>
        <w:t xml:space="preserve"> Какое из сооружений, приведённых в задании, построено из материала, который не встречается в качестве основного в других зданиях?</w:t>
      </w:r>
    </w:p>
    <w:p w:rsidR="008E2707" w:rsidRDefault="008E2707" w:rsidP="008E2707">
      <w:pPr>
        <w:pStyle w:val="wp-block-paragraph"/>
      </w:pPr>
      <w:r>
        <w:lastRenderedPageBreak/>
        <w:t>За всё время существования пейзажного класса в знаменитом Московском училище живописи, ваяния и зодчества (МУЖВЗ) им руководило пять художников: К.И. Рабус (1844–1857), А.К. Саврасов (1857-1882), В.Д. Поленов (1882-1895), И.И. Левитан (1898-1900) и А.М. Васнецов (1901-1918). Каждый из них преобразовывал педагогическую систему обучения в пейзажном классе и передавал ученикам своё видение назначения пейзажа как жанра, его ценностей и перспектив развития.</w:t>
      </w:r>
    </w:p>
    <w:p w:rsidR="008E2707" w:rsidRDefault="008E2707" w:rsidP="008E2707">
      <w:pPr>
        <w:pStyle w:val="wp-block-paragraph"/>
      </w:pPr>
      <w:r>
        <w:t>Рабус основывает пейзажный класс и применяет академический метод создания картины к пейзажу. В русле эстетики романтизма художник ищет его национальное начало, изображая древнерусскую архитектуру.</w:t>
      </w:r>
    </w:p>
    <w:p w:rsidR="008E2707" w:rsidRDefault="008E2707" w:rsidP="008E2707">
      <w:pPr>
        <w:pStyle w:val="wp-block-paragraph"/>
      </w:pPr>
      <w:r>
        <w:t>А.К. Саврасов открывает национальное в самих картинах природы и наделяет пейзаж лирикой. С творчеством Саврасова связано открытие пейзажа настроения.</w:t>
      </w:r>
    </w:p>
    <w:p w:rsidR="008E2707" w:rsidRDefault="008E2707" w:rsidP="008E2707">
      <w:pPr>
        <w:pStyle w:val="wp-block-paragraph"/>
      </w:pPr>
      <w:r>
        <w:t>В.Д. Поленов делает обучение гораздо более системным и европейски ориентированным – разрабатывает курс линейной перспективы и превращает выезды на натуру в постоянную практику. Пейзажи самого Поленова часто сочетают в себе эпическое начало и пленэрные впечатления.</w:t>
      </w:r>
    </w:p>
    <w:p w:rsidR="008E2707" w:rsidRDefault="008E2707" w:rsidP="008E2707">
      <w:pPr>
        <w:pStyle w:val="wp-block-paragraph"/>
      </w:pPr>
      <w:r>
        <w:t>И.И. Левитан руководит пейзажным классом всего полтора года. Он обращается к саврасовскому эмоциональному восприятию природы, но превращает создание «пейзажа настроения» в осознанную художественную задачу.</w:t>
      </w:r>
    </w:p>
    <w:p w:rsidR="008E2707" w:rsidRDefault="008E2707" w:rsidP="008E2707">
      <w:pPr>
        <w:pStyle w:val="wp-block-paragraph"/>
      </w:pPr>
      <w:r>
        <w:t>Наконец, А.М. Васнецов, опирающийся на фундамент этнографии и археологии, расширяет возможности жанра и вводит понятие «исторического пейзажа». Он же создаёт несколько пейзажных работ близких эстетике символизма.</w:t>
      </w:r>
    </w:p>
    <w:p w:rsidR="008E2707" w:rsidRDefault="008E2707" w:rsidP="008E2707">
      <w:pPr>
        <w:pStyle w:val="wp-block-paragraph"/>
      </w:pPr>
      <w:r>
        <w:t>Важно отметить, что все живописцы работали над своими программными произведениями в непосредственной связи с педагогической практикой. В задании собраны работы всех пяти художников, созданные в период, когда каждый из них стоял во главе пейзажного класса МУЖВЗ. Внимательно посмотрите на работы и выполните задания.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9.</w:t>
      </w:r>
      <w:r>
        <w:t xml:space="preserve"> Перед вами фрагменты описаний пяти картин, представленных в задании. Все фрагменты состоят из двух предложений. В каждом случае первое предложение стоит на своём месте, а все вторые перепутаны. Соедините первое и второе предложения так, чтобы текст корректно описывал картину.</w:t>
      </w:r>
    </w:p>
    <w:p w:rsidR="008E2707" w:rsidRDefault="008E2707" w:rsidP="008E2707">
      <w:pPr>
        <w:pStyle w:val="wp-block-paragraph"/>
      </w:pPr>
      <w:r>
        <w:t>ПЕРВЫЙ СТОЛБЕЦ — ПЕРВЫЕ ПРЕДЛОЖЕНИЯ</w:t>
      </w:r>
    </w:p>
    <w:p w:rsidR="008E2707" w:rsidRDefault="008E2707" w:rsidP="008E2707">
      <w:pPr>
        <w:pStyle w:val="wp-block-paragraph"/>
      </w:pPr>
      <w:r>
        <w:rPr>
          <w:rStyle w:val="a8"/>
        </w:rPr>
        <w:t>Первый фрагмент</w:t>
      </w:r>
      <w:r>
        <w:br/>
        <w:t>Ощущения эпического масштаба художник достигает за счёт точки зрения сверху: перед нами открывается огромное пространство, очерченное изгибами берегов и плавными поворотами реки, над которым расстилается уже ничем не делимое, безграничное небо</w:t>
      </w:r>
    </w:p>
    <w:p w:rsidR="008E2707" w:rsidRDefault="008E2707" w:rsidP="008E2707">
      <w:pPr>
        <w:pStyle w:val="wp-block-paragraph"/>
      </w:pPr>
      <w:r>
        <w:rPr>
          <w:rStyle w:val="a8"/>
        </w:rPr>
        <w:t>Второй фрагмент</w:t>
      </w:r>
      <w:r>
        <w:br/>
        <w:t>В этой работе академическая точность, «вычерченность» рисунка сочетается с романтическим освещением.</w:t>
      </w:r>
    </w:p>
    <w:p w:rsidR="008E2707" w:rsidRDefault="008E2707" w:rsidP="008E2707">
      <w:pPr>
        <w:pStyle w:val="wp-block-paragraph"/>
      </w:pPr>
      <w:r>
        <w:rPr>
          <w:rStyle w:val="a8"/>
        </w:rPr>
        <w:t>Третий фрагмент</w:t>
      </w:r>
      <w:r>
        <w:br/>
        <w:t>Работа говорит о хорошем знании автором живописи импрессионизма</w:t>
      </w:r>
    </w:p>
    <w:p w:rsidR="008E2707" w:rsidRDefault="008E2707" w:rsidP="008E2707">
      <w:pPr>
        <w:pStyle w:val="wp-block-paragraph"/>
      </w:pPr>
      <w:r>
        <w:rPr>
          <w:rStyle w:val="a8"/>
        </w:rPr>
        <w:lastRenderedPageBreak/>
        <w:t>Четвёртый фрагмент</w:t>
      </w:r>
      <w:r>
        <w:br/>
        <w:t>Композиционный узел работы соотнесён с одной из линий золотого сечения картины.</w:t>
      </w:r>
    </w:p>
    <w:p w:rsidR="008E2707" w:rsidRDefault="008E2707" w:rsidP="008E2707">
      <w:pPr>
        <w:pStyle w:val="wp-block-paragraph"/>
      </w:pPr>
      <w:r>
        <w:rPr>
          <w:rStyle w:val="a8"/>
        </w:rPr>
        <w:t>Пятый фрагмент</w:t>
      </w:r>
      <w:r>
        <w:br/>
        <w:t>Из всего наследия художника эта работа в наибольшей степени близка к фольклорно-сказочному строю произведений его брата.</w:t>
      </w:r>
    </w:p>
    <w:p w:rsidR="008E2707" w:rsidRDefault="008E2707" w:rsidP="008E2707">
      <w:pPr>
        <w:pStyle w:val="wp-block-paragraph"/>
      </w:pPr>
      <w:r>
        <w:t>ВТОРОЙ СТОЛБЕЦ — ВТОРЫЕ ПРЕДЛОЖЕНИЯ</w:t>
      </w:r>
    </w:p>
    <w:p w:rsidR="008E2707" w:rsidRDefault="008E2707" w:rsidP="008E2707">
      <w:pPr>
        <w:pStyle w:val="wp-block-paragraph"/>
      </w:pPr>
      <w:r>
        <w:t>Здесь происходит своего рода «взрыв форм»: скатывается вниз дорога, взмывает вверх радуга, «взламывая» пригорок, теснятся сараи.</w:t>
      </w:r>
    </w:p>
    <w:p w:rsidR="008E2707" w:rsidRDefault="008E2707" w:rsidP="008E2707">
      <w:pPr>
        <w:pStyle w:val="wp-block-paragraph"/>
      </w:pPr>
      <w:r>
        <w:t>О человеческом присутствии говорит тропинка, покосы и маленькая церквушка на берегу, цвет которой от ярко-белого до сгущенно-серого задаёт границы всей палитры облаков.</w:t>
      </w:r>
    </w:p>
    <w:p w:rsidR="008E2707" w:rsidRDefault="008E2707" w:rsidP="008E2707">
      <w:pPr>
        <w:pStyle w:val="wp-block-paragraph"/>
      </w:pPr>
      <w:r>
        <w:t>Лунный свет холодного лимонного оттенка соседствует здесь с красноватым жаром лампады.</w:t>
      </w:r>
    </w:p>
    <w:p w:rsidR="008E2707" w:rsidRDefault="008E2707" w:rsidP="008E2707">
      <w:pPr>
        <w:pStyle w:val="wp-block-paragraph"/>
      </w:pPr>
      <w:r>
        <w:t>Стволы, ветви, высокие травы кажутся одушевлёнными и обступают маленькую фигуру, как бы заманивая её в свой таинственный мир.</w:t>
      </w:r>
    </w:p>
    <w:p w:rsidR="008E2707" w:rsidRDefault="008E2707" w:rsidP="008E2707">
      <w:pPr>
        <w:pStyle w:val="wp-block-paragraph"/>
      </w:pPr>
      <w:r>
        <w:t>Художник разрабатывает один из любимых мотивов Клода Моне, однако, в отличие от французского художника, освещает своё поле не искристыми лучами солнца, а приглушающим все оттенки цвета светом луны.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10.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a"/>
        </w:rPr>
        <w:t>В силу специфики машинной проверки вам придется выбрать каждую пару работ два раза.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11.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12.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13.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14.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15.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16.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17.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lastRenderedPageBreak/>
        <w:t>Задание 18.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19.</w:t>
      </w:r>
      <w:r>
        <w:t xml:space="preserve"> Соедините картины, представленные в задании, в пары таким образом, чтобы внутри каждой пары были работы одного живописца.</w:t>
      </w:r>
    </w:p>
    <w:p w:rsidR="008E2707" w:rsidRDefault="008E2707" w:rsidP="008E2707">
      <w:pPr>
        <w:pStyle w:val="wp-block-paragraph"/>
      </w:pPr>
      <w:r>
        <w:t>Одно из главных сочинений М. П. Мусоргского, опера «Хованщина», открывается знаменитым вступлением «Рассвет на Москве-реке» («Рассвет на Москве, заутреня с петухами…»). Как и вся опера, вступление не было оркестровано Мусоргским — композитор при жизни успел записать лишь клавир (фортепианную версию). Уже после смерти Мусоргского были созданы различные варианты оркестровки этого вступления, самые известные из них – версии Н. А. Римского-Корсакова и Д. Д. Шостаковича. По словам музыковеда Л. Гуревича, «оба великих мастера оркестра значительно «улучшили» звучание опер Мусоргского, привнеся в них с неизбежностью черты собственной индивидуальности… Однако подлинный Мусоргский с его шероховатостями, неловкостями в оркестровке при этом пострадал. Между тем именно эта кажущаяся «неполноценность звучаний» иной раз составляет сущность музыкальных образов». Действительно, каждая из версий вступления отражает вкусы автора, стиль эпохи, наконец, отношение к музыкальному языку Мусоргского — композитора, выделявшегося на фоне других авторов XIX века «неправильным», иногда практически авангардным музыкальным мышлением.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20.</w:t>
      </w:r>
      <w:r>
        <w:t xml:space="preserve"> Прослушайте аудиофрагменты двух оркестровых версий вступления «Рассвет на Москве-реке» и выполните задания. </w:t>
      </w:r>
      <w:r>
        <w:rPr>
          <w:rStyle w:val="a8"/>
        </w:rPr>
        <w:t>Для более продуктивной работы рекомендуем изучить условие задания до прослушивания музыки.</w:t>
      </w:r>
    </w:p>
    <w:p w:rsidR="008E2707" w:rsidRDefault="008E2707" w:rsidP="008E2707">
      <w:pPr>
        <w:pStyle w:val="wp-block-paragraph"/>
      </w:pPr>
      <w:r>
        <w:t>Аудиофрагмент Рассвет на Москва-реке. Версия 1 — 03:04.</w:t>
      </w:r>
      <w:r>
        <w:br/>
        <w:t>Аудиофрагмент Рассвет на Москва-реке. Версия 2 — 02:59.</w:t>
      </w:r>
    </w:p>
    <w:p w:rsidR="008E2707" w:rsidRDefault="008E2707" w:rsidP="008E2707">
      <w:pPr>
        <w:pStyle w:val="wp-block-paragraph"/>
      </w:pPr>
      <w:r>
        <w:t>Укажите, к какой из версий относится каждый из следующих тезисов.</w:t>
      </w:r>
    </w:p>
    <w:p w:rsidR="008E2707" w:rsidRDefault="008E2707" w:rsidP="008E2707">
      <w:pPr>
        <w:pStyle w:val="wp-block-paragraph"/>
      </w:pPr>
      <w:r>
        <w:t>Основная песенная тема при первом проведении звучит у кларнета.</w:t>
      </w:r>
    </w:p>
    <w:p w:rsidR="008E2707" w:rsidRDefault="008E2707" w:rsidP="008E2707">
      <w:pPr>
        <w:pStyle w:val="wp-block-paragraph"/>
      </w:pPr>
      <w:r>
        <w:t>Звукоподражательная фраза, имитирующая утренний крик петуха, при первом проведении звучит у гобоя.</w:t>
      </w:r>
    </w:p>
    <w:p w:rsidR="008E2707" w:rsidRDefault="008E2707" w:rsidP="008E2707">
      <w:pPr>
        <w:pStyle w:val="wp-block-paragraph"/>
      </w:pPr>
      <w:r>
        <w:t>В данной версии солирует бо́льшее число различных инструментов, чем в другой, и разные тембры сменяют друг друга чаще.</w:t>
      </w:r>
    </w:p>
    <w:p w:rsidR="008E2707" w:rsidRDefault="008E2707" w:rsidP="008E2707">
      <w:pPr>
        <w:pStyle w:val="wp-block-paragraph"/>
      </w:pPr>
      <w:r>
        <w:t>Раздел, в котором слышны подражания колокольным звонам, звучит ярче (в том числе из-за введения оркестровых колоколов) и сопровождается более красочными и необычными гармониями, чем в другой версии.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21.</w:t>
      </w:r>
      <w:r>
        <w:t xml:space="preserve"> Установите соответствие между объектами двух столбцов.</w:t>
      </w:r>
    </w:p>
    <w:p w:rsidR="008E2707" w:rsidRDefault="008E2707" w:rsidP="008E2707">
      <w:pPr>
        <w:pStyle w:val="wp-block-paragraph"/>
      </w:pPr>
      <w:r>
        <w:t>Прочитайте отрывок из текста, приписываемого Д. Д. Шостаковичу, в котором он сравнивает свой подход к оркестровке с подходом Н. А. Римского-Корсакова:</w:t>
      </w:r>
    </w:p>
    <w:p w:rsidR="008E2707" w:rsidRDefault="008E2707" w:rsidP="008E2707">
      <w:pPr>
        <w:pStyle w:val="wp-block-paragraph"/>
      </w:pPr>
      <w:r>
        <w:t xml:space="preserve">«У Римского-Корсакова оркестр зачастую звучит более красочно, чем у меня. Он использовал более яркие тембры и слишком измельчил мелодические линии. Я чаще сочетаю основные оркестровые группы и резче выделяю драматические «вспышки» и «всплески». Оркестр у Римского-Корсакова звучит спокойней и уравновешенней. Не </w:t>
      </w:r>
      <w:r>
        <w:lastRenderedPageBreak/>
        <w:t>думаю, что это подходит «Борису»¹. Оркестр должен более гибко следовать за изменениями настроений персонажей»²</w:t>
      </w:r>
    </w:p>
    <w:p w:rsidR="008E2707" w:rsidRDefault="008E2707" w:rsidP="008E2707">
      <w:pPr>
        <w:pStyle w:val="wp-block-paragraph"/>
      </w:pPr>
      <w:r>
        <w:t>¹ «Борису Годунову» – опере Мусоргского, оркестровкой которой также занимались и Римский-Корсаков, и Шостакович.</w:t>
      </w:r>
    </w:p>
    <w:p w:rsidR="008E2707" w:rsidRDefault="008E2707" w:rsidP="008E2707">
      <w:pPr>
        <w:pStyle w:val="wp-block-paragraph"/>
      </w:pPr>
      <w:r>
        <w:t>² Цит. по: «Свидетельство. Воспоминания Дмитрия Шостаковича, записанные и отредактированные Соломоном Волковым» (1979). Подлинность прямой речи Шостаковича, изложенной в данном тексте, подвергается сомнению исследователями и знакомыми композитора, однако многие положения книги были признаны достоверными.</w:t>
      </w:r>
    </w:p>
    <w:p w:rsidR="008E2707" w:rsidRDefault="008E2707" w:rsidP="008E2707">
      <w:pPr>
        <w:pStyle w:val="wp-block-paragraph"/>
      </w:pPr>
      <w:r>
        <w:t>На основании текстового отрывка, а также ответов на предыдущие вопросы определите, какая версия представляет оркестровку Н. А. Римского-Корсакова и какая – Д. Д. Шостаковича?</w:t>
      </w:r>
    </w:p>
    <w:p w:rsidR="008E2707" w:rsidRDefault="008E2707" w:rsidP="008E2707">
      <w:pPr>
        <w:pStyle w:val="wp-block-paragraph"/>
      </w:pPr>
      <w:r>
        <w:t>ПЕРВЫЙ СТОЛБЕЦ</w:t>
      </w:r>
      <w:r>
        <w:br/>
        <w:t>Версия 1</w:t>
      </w:r>
      <w:r>
        <w:br/>
        <w:t>Версия 2</w:t>
      </w:r>
    </w:p>
    <w:p w:rsidR="008E2707" w:rsidRDefault="008E2707" w:rsidP="008E2707">
      <w:pPr>
        <w:pStyle w:val="wp-block-paragraph"/>
      </w:pPr>
      <w:r>
        <w:t>ВТОРОЙ СТОЛБЕЦ</w:t>
      </w:r>
      <w:r>
        <w:br/>
        <w:t>Д. Д. Шостакович.</w:t>
      </w:r>
      <w:r>
        <w:br/>
        <w:t>Н. А. Римский-Корсаков</w:t>
      </w:r>
    </w:p>
    <w:p w:rsidR="008E2707" w:rsidRDefault="008E2707" w:rsidP="008E2707">
      <w:pPr>
        <w:pStyle w:val="wp-block-paragraph"/>
      </w:pPr>
      <w:r>
        <w:rPr>
          <w:rStyle w:val="a8"/>
        </w:rPr>
        <w:t>Задание 22.</w:t>
      </w:r>
      <w:r>
        <w:t xml:space="preserve"> Перед Вами эскизы к русским операм XIX века, созданные художниками, среди которых Аполлинарий Васнецов, Иван Билибин, Михаил Врубель, Константин Коровин, Александр Бенуа, Николай Рерих, Фёдор Федоровский, Мстислав Добужинский, Константин Юон, Пётр Вильямс, Март Китаев.</w:t>
      </w:r>
    </w:p>
    <w:p w:rsidR="008E2707" w:rsidRDefault="008E2707" w:rsidP="008E2707">
      <w:pPr>
        <w:pStyle w:val="wp-block-paragraph"/>
      </w:pPr>
      <w:r>
        <w:t>Посмотрите, пожалуйста, на работы, представленные в задании. Подумайте, на каких эскизах изображены постройки, до сих пор сохранившиеся в Москве?</w:t>
      </w:r>
    </w:p>
    <w:p w:rsidR="008E2707" w:rsidRDefault="008E2707" w:rsidP="008E2707">
      <w:pPr>
        <w:pStyle w:val="wp-block-paragraph"/>
      </w:pPr>
      <w:r>
        <w:t>Отметьте эскизы, на которых изображены постройки, до сих пор сохранившиеся в Москве.</w:t>
      </w:r>
    </w:p>
    <w:p w:rsidR="008337F6" w:rsidRPr="008E2707" w:rsidRDefault="008337F6" w:rsidP="008E2707">
      <w:bookmarkStart w:id="0" w:name="_GoBack"/>
      <w:bookmarkEnd w:id="0"/>
    </w:p>
    <w:sectPr w:rsidR="008337F6" w:rsidRPr="008E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7</Pages>
  <Words>2060</Words>
  <Characters>11746</Characters>
  <Application>Microsoft Office Word</Application>
  <DocSecurity>0</DocSecurity>
  <Lines>97</Lines>
  <Paragraphs>27</Paragraphs>
  <ScaleCrop>false</ScaleCrop>
  <Company/>
  <LinksUpToDate>false</LinksUpToDate>
  <CharactersWithSpaces>13779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526</cp:revision>
  <dcterms:created xsi:type="dcterms:W3CDTF">2024-10-16T05:23:00Z</dcterms:created>
  <dcterms:modified xsi:type="dcterms:W3CDTF">2026-09-29T09:39:00Z</dcterms:modified>
</cp:coreProperties>
</file>